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ДГРТ Воронежской обл. от 18.11.2022 N 69/103</w:t>
              <w:br/>
              <w:t xml:space="preserve">"О внесении изменения в приказ УРТ от 07.12.2018 N 49/52 "Об установлении долгосрочных параметров регулирования деятельности и тарифов на тепловую энергию (мощность), поставляемую ООО "Твой Дом" потребителям, расположенным на территории Ольховатского городского поселения (рабочий поселок Ольховатка, поселок Заболотовка, поселок Большие Базы), Караяшниковского сельского поселения (слобода Караяшник, слобода Юрасовка), Шапошниковского сельского поселения (слобода Шапошниковка), Новохарьковского сельского поселения (слобода Новохарьковка), Степнянского сельского поселения (село Костово) Ольховатского муниципального района Воронежской области, на период 2019 - 2023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ГОСУДАРСТВЕННОГО РЕГУЛИРОВАНИЯ ТАРИФОВ</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18 ноября 2022 г. N 69/103</w:t>
      </w:r>
    </w:p>
    <w:p>
      <w:pPr>
        <w:pStyle w:val="2"/>
        <w:jc w:val="center"/>
      </w:pPr>
      <w:r>
        <w:rPr>
          <w:sz w:val="20"/>
        </w:rPr>
      </w:r>
    </w:p>
    <w:p>
      <w:pPr>
        <w:pStyle w:val="2"/>
        <w:jc w:val="center"/>
      </w:pPr>
      <w:r>
        <w:rPr>
          <w:sz w:val="20"/>
        </w:rPr>
        <w:t xml:space="preserve">О ВНЕСЕНИИ ИЗМЕНЕНИЯ В ПРИКАЗ УРТ ОТ 07.12.2018 N 49/52</w:t>
      </w:r>
    </w:p>
    <w:p>
      <w:pPr>
        <w:pStyle w:val="2"/>
        <w:jc w:val="center"/>
      </w:pPr>
      <w:r>
        <w:rPr>
          <w:sz w:val="20"/>
        </w:rPr>
        <w:t xml:space="preserve">"ОБ УСТАНОВЛЕНИИ ДОЛГОСРОЧНЫХ ПАРАМЕТРОВ РЕГУЛИРОВАНИЯ</w:t>
      </w:r>
    </w:p>
    <w:p>
      <w:pPr>
        <w:pStyle w:val="2"/>
        <w:jc w:val="center"/>
      </w:pPr>
      <w:r>
        <w:rPr>
          <w:sz w:val="20"/>
        </w:rPr>
        <w:t xml:space="preserve">ДЕЯТЕЛЬНОСТИ И ТАРИФОВ НА ТЕПЛОВУЮ ЭНЕРГИЮ (МОЩНОСТЬ),</w:t>
      </w:r>
    </w:p>
    <w:p>
      <w:pPr>
        <w:pStyle w:val="2"/>
        <w:jc w:val="center"/>
      </w:pPr>
      <w:r>
        <w:rPr>
          <w:sz w:val="20"/>
        </w:rPr>
        <w:t xml:space="preserve">ПОСТАВЛЯЕМУЮ ООО "ТВОЙ ДОМ" ПОТРЕБИТЕЛЯМ, РАСПОЛОЖЕННЫМ</w:t>
      </w:r>
    </w:p>
    <w:p>
      <w:pPr>
        <w:pStyle w:val="2"/>
        <w:jc w:val="center"/>
      </w:pPr>
      <w:r>
        <w:rPr>
          <w:sz w:val="20"/>
        </w:rPr>
        <w:t xml:space="preserve">НА ТЕРРИТОРИИ ОЛЬХОВАТСКОГО ГОРОДСКОГО ПОСЕЛЕНИЯ (РАБОЧИЙ</w:t>
      </w:r>
    </w:p>
    <w:p>
      <w:pPr>
        <w:pStyle w:val="2"/>
        <w:jc w:val="center"/>
      </w:pPr>
      <w:r>
        <w:rPr>
          <w:sz w:val="20"/>
        </w:rPr>
        <w:t xml:space="preserve">ПОСЕЛОК ОЛЬХОВАТКА, ПОСЕЛОК ЗАБОЛОТОВКА, ПОСЕЛОК БОЛЬШИЕ</w:t>
      </w:r>
    </w:p>
    <w:p>
      <w:pPr>
        <w:pStyle w:val="2"/>
        <w:jc w:val="center"/>
      </w:pPr>
      <w:r>
        <w:rPr>
          <w:sz w:val="20"/>
        </w:rPr>
        <w:t xml:space="preserve">БАЗЫ), КАРАЯШНИКОВСКОГО СЕЛЬСКОГО ПОСЕЛЕНИЯ (СЛОБОДА</w:t>
      </w:r>
    </w:p>
    <w:p>
      <w:pPr>
        <w:pStyle w:val="2"/>
        <w:jc w:val="center"/>
      </w:pPr>
      <w:r>
        <w:rPr>
          <w:sz w:val="20"/>
        </w:rPr>
        <w:t xml:space="preserve">КАРАЯШНИК, СЛОБОДА ЮРАСОВКА), ШАПОШНИКОВСКОГО СЕЛЬСКОГО</w:t>
      </w:r>
    </w:p>
    <w:p>
      <w:pPr>
        <w:pStyle w:val="2"/>
        <w:jc w:val="center"/>
      </w:pPr>
      <w:r>
        <w:rPr>
          <w:sz w:val="20"/>
        </w:rPr>
        <w:t xml:space="preserve">ПОСЕЛЕНИЯ (СЛОБОДА ШАПОШНИКОВКА), НОВОХАРЬКОВСКОГО СЕЛЬСКОГО</w:t>
      </w:r>
    </w:p>
    <w:p>
      <w:pPr>
        <w:pStyle w:val="2"/>
        <w:jc w:val="center"/>
      </w:pPr>
      <w:r>
        <w:rPr>
          <w:sz w:val="20"/>
        </w:rPr>
        <w:t xml:space="preserve">ПОСЕЛЕНИЯ (СЛОБОДА НОВОХАРЬКОВКА), СТЕПНЯНСКОГО СЕЛЬСКОГО</w:t>
      </w:r>
    </w:p>
    <w:p>
      <w:pPr>
        <w:pStyle w:val="2"/>
        <w:jc w:val="center"/>
      </w:pPr>
      <w:r>
        <w:rPr>
          <w:sz w:val="20"/>
        </w:rPr>
        <w:t xml:space="preserve">ПОСЕЛЕНИЯ (СЕЛО КОСТОВО) ОЛЬХОВАТСКОГО МУНИЦИПАЛЬНОГО РАЙОНА</w:t>
      </w:r>
    </w:p>
    <w:p>
      <w:pPr>
        <w:pStyle w:val="2"/>
        <w:jc w:val="center"/>
      </w:pPr>
      <w:r>
        <w:rPr>
          <w:sz w:val="20"/>
        </w:rPr>
        <w:t xml:space="preserve">ВОРОНЕЖСКОЙ ОБЛАСТИ, НА ПЕРИОД 2019 - 2023 ГОДОВ"</w:t>
      </w:r>
    </w:p>
    <w:p>
      <w:pPr>
        <w:pStyle w:val="0"/>
        <w:jc w:val="both"/>
      </w:pPr>
      <w:r>
        <w:rPr>
          <w:sz w:val="20"/>
        </w:rPr>
      </w:r>
    </w:p>
    <w:p>
      <w:pPr>
        <w:pStyle w:val="0"/>
        <w:ind w:firstLine="540"/>
        <w:jc w:val="both"/>
      </w:pPr>
      <w:r>
        <w:rPr>
          <w:sz w:val="20"/>
        </w:rPr>
        <w:t xml:space="preserve">В целях корректировки тарифов, руководствуясь Федеральным </w:t>
      </w:r>
      <w:hyperlink w:history="0" r:id="rId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27.07.2010 N 190-ФЗ "О теплоснабжении", Постановлениями Правительства Российской Федерации от 22.10.2012 </w:t>
      </w:r>
      <w:hyperlink w:history="0" r:id="rId8" w:tooltip="Постановление Правительства РФ от 22.10.2012 N 1075 (ред. от 10.10.2022, с изм. от 14.11.2022)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 {КонсультантПлюс}">
        <w:r>
          <w:rPr>
            <w:sz w:val="20"/>
            <w:color w:val="0000ff"/>
          </w:rPr>
          <w:t xml:space="preserve">N 1075</w:t>
        </w:r>
      </w:hyperlink>
      <w:r>
        <w:rPr>
          <w:sz w:val="20"/>
        </w:rPr>
        <w:t xml:space="preserve"> "О ценообразовании в сфере теплоснабжения", от 14.11.2022 </w:t>
      </w:r>
      <w:hyperlink w:history="0" r:id="rId9" w:tooltip="Постановление Правительства РФ от 14.11.2022 N 205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N 2053</w:t>
        </w:r>
      </w:hyperlink>
      <w:r>
        <w:rPr>
          <w:sz w:val="20"/>
        </w:rPr>
        <w:t xml:space="preserve">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w:t>
      </w:r>
      <w:hyperlink w:history="0" r:id="rId10" w:tooltip="Приказ ФСТ России от 13.06.2013 N 760-э (ред. от 24.06.2022)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sz w:val="20"/>
            <w:color w:val="0000ff"/>
          </w:rPr>
          <w:t xml:space="preserve">Приказом</w:t>
        </w:r>
      </w:hyperlink>
      <w:r>
        <w:rPr>
          <w:sz w:val="20"/>
        </w:rPr>
        <w:t xml:space="preserve"> Федеральной службы по тарифам от 13.06.2013 N 760-э "Об утверждении Методических указаний по расчету регулируемых цен (тарифов) в сфере теплоснабжения", </w:t>
      </w:r>
      <w:hyperlink w:history="0" r:id="rId11" w:tooltip="Постановление Правительства Воронежской обл. от 31.03.2020 N 283 (ред. от 09.08.2022) &quot;Об утверждении Положения о департаменте государственного регулирования тарифов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31.03.2020 N 283 "Об утверждении Положения о департаменте государственного регулирования тарифов Воронежской области", и на основании решения Правления ДГРТ ВО от 18.11.2022 N 69/103 приказываю:</w:t>
      </w:r>
    </w:p>
    <w:p>
      <w:pPr>
        <w:pStyle w:val="0"/>
        <w:spacing w:before="200" w:line-rule="auto"/>
        <w:ind w:firstLine="540"/>
        <w:jc w:val="both"/>
      </w:pPr>
      <w:r>
        <w:rPr>
          <w:sz w:val="20"/>
        </w:rPr>
        <w:t xml:space="preserve">1. Внести в приказ УРТ от 07.12.2018 N 49/52 "Об установлении долгосрочных параметров регулирования деятельности и тарифов на тепловую энергию (мощность), поставляемую ООО "Твой Дом" потребителям, расположенным на территории Ольховатского городского поселения (рабочий поселок Ольховатка, поселок Заболотовка, поселок Большие Базы), Караяшниковского сельского поселения (слобода Караяшник, слобода Юрасовка), Шапошниковского сельского поселения (слобода Шапошниковка), Новохарьковского сельского поселения (слобода Новохарьковка), Степнянского сельского поселения (село Костово) Ольховатского муниципального района Воронежской области, на период 2019 - 2023 годов" (в редакции приказов УРТ от 17.01.2019 N 1/2, от 26.11.2019 N 47/47, приказов ДГРТ ВО от 18.12.2020 N 58/122, от 14.12.2021 N 69/47) изменение, изложив </w:t>
      </w:r>
      <w:hyperlink w:history="0" r:id="rId12" w:tooltip="Приказ УРТ Воронежской обл. от 07.12.2018 N 49/52 (ред. от 14.12.2021) &quot;Об установлении долгосрочных параметров регулирования деятельности и тарифов на тепловую энергию (мощность), поставляемую ООО &quot;Твой Дом&quot; потребителям, расположенным на территории Ольховатского городского поселения (рабочий поселок Ольховатка, поселок Заболотовка, поселок Большие Базы), Караяшниковского сельского поселения (слобода Караяшник, слобода Юрасовка), Шапошниковского сельского поселения (слобода Шапошниковка), Новохарьковского  ------------ Недействующая редакция {КонсультантПлюс}">
        <w:r>
          <w:rPr>
            <w:sz w:val="20"/>
            <w:color w:val="0000ff"/>
          </w:rPr>
          <w:t xml:space="preserve">приложение N 2</w:t>
        </w:r>
      </w:hyperlink>
      <w:r>
        <w:rPr>
          <w:sz w:val="20"/>
        </w:rPr>
        <w:t xml:space="preserve"> к приказу в редакции согласно </w:t>
      </w:r>
      <w:hyperlink w:history="0" w:anchor="P39" w:tooltip="ТАРИФЫ">
        <w:r>
          <w:rPr>
            <w:sz w:val="20"/>
            <w:color w:val="0000ff"/>
          </w:rPr>
          <w:t xml:space="preserve">приложению</w:t>
        </w:r>
      </w:hyperlink>
      <w:r>
        <w:rPr>
          <w:sz w:val="20"/>
        </w:rPr>
        <w:t xml:space="preserve"> к настоящему приказу.</w:t>
      </w:r>
    </w:p>
    <w:p>
      <w:pPr>
        <w:pStyle w:val="0"/>
        <w:spacing w:before="200" w:line-rule="auto"/>
        <w:ind w:firstLine="540"/>
        <w:jc w:val="both"/>
      </w:pPr>
      <w:r>
        <w:rPr>
          <w:sz w:val="20"/>
        </w:rPr>
        <w:t xml:space="preserve">2. Настоящий приказ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Е.В.БАЖАНОВ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ДГРТ ВО</w:t>
      </w:r>
    </w:p>
    <w:p>
      <w:pPr>
        <w:pStyle w:val="0"/>
        <w:jc w:val="right"/>
      </w:pPr>
      <w:r>
        <w:rPr>
          <w:sz w:val="20"/>
        </w:rPr>
        <w:t xml:space="preserve">от 18.11.2022 N 69/103</w:t>
      </w:r>
    </w:p>
    <w:p>
      <w:pPr>
        <w:pStyle w:val="0"/>
        <w:jc w:val="both"/>
      </w:pPr>
      <w:r>
        <w:rPr>
          <w:sz w:val="20"/>
        </w:rPr>
      </w:r>
    </w:p>
    <w:p>
      <w:pPr>
        <w:pStyle w:val="0"/>
        <w:jc w:val="right"/>
      </w:pPr>
      <w:r>
        <w:rPr>
          <w:sz w:val="20"/>
        </w:rPr>
        <w:t xml:space="preserve">"Приложение N 2</w:t>
      </w:r>
    </w:p>
    <w:p>
      <w:pPr>
        <w:pStyle w:val="0"/>
        <w:jc w:val="right"/>
      </w:pPr>
      <w:r>
        <w:rPr>
          <w:sz w:val="20"/>
        </w:rPr>
        <w:t xml:space="preserve">к приказу УРТ</w:t>
      </w:r>
    </w:p>
    <w:p>
      <w:pPr>
        <w:pStyle w:val="0"/>
        <w:jc w:val="right"/>
      </w:pPr>
      <w:r>
        <w:rPr>
          <w:sz w:val="20"/>
        </w:rPr>
        <w:t xml:space="preserve">от 07.12.2018 N 49/52</w:t>
      </w:r>
    </w:p>
    <w:p>
      <w:pPr>
        <w:pStyle w:val="0"/>
        <w:jc w:val="both"/>
      </w:pPr>
      <w:r>
        <w:rPr>
          <w:sz w:val="20"/>
        </w:rPr>
      </w:r>
    </w:p>
    <w:bookmarkStart w:id="39" w:name="P39"/>
    <w:bookmarkEnd w:id="39"/>
    <w:p>
      <w:pPr>
        <w:pStyle w:val="2"/>
        <w:jc w:val="center"/>
      </w:pPr>
      <w:r>
        <w:rPr>
          <w:sz w:val="20"/>
        </w:rPr>
        <w:t xml:space="preserve">ТАРИФЫ</w:t>
      </w:r>
    </w:p>
    <w:p>
      <w:pPr>
        <w:pStyle w:val="2"/>
        <w:jc w:val="center"/>
      </w:pPr>
      <w:r>
        <w:rPr>
          <w:sz w:val="20"/>
        </w:rPr>
        <w:t xml:space="preserve">НА ТЕПЛОВУЮ ЭНЕРГИЮ (МОЩНОСТЬ) ДЛЯ ОБЩЕСТВА С ОГРАНИЧЕННОЙ</w:t>
      </w:r>
    </w:p>
    <w:p>
      <w:pPr>
        <w:pStyle w:val="2"/>
        <w:jc w:val="center"/>
      </w:pPr>
      <w:r>
        <w:rPr>
          <w:sz w:val="20"/>
        </w:rPr>
        <w:t xml:space="preserve">ОТВЕТСТВЕННОСТЬЮ "ТВОЙ ДОМ", ПОСТАВЛЯЕМУЮ ПОТРЕБИТЕЛЯМ,</w:t>
      </w:r>
    </w:p>
    <w:p>
      <w:pPr>
        <w:pStyle w:val="2"/>
        <w:jc w:val="center"/>
      </w:pPr>
      <w:r>
        <w:rPr>
          <w:sz w:val="20"/>
        </w:rPr>
        <w:t xml:space="preserve">РАСПОЛОЖЕННЫМ НА ТЕРРИТОРИИ ОЛЬХОВАТСКОГО ГОРОДСКОГО</w:t>
      </w:r>
    </w:p>
    <w:p>
      <w:pPr>
        <w:pStyle w:val="2"/>
        <w:jc w:val="center"/>
      </w:pPr>
      <w:r>
        <w:rPr>
          <w:sz w:val="20"/>
        </w:rPr>
        <w:t xml:space="preserve">ПОСЕЛЕНИЯ (РАБОЧИЙ ПОСЕЛОК ОЛЬХОВАТКА, ПОСЕЛОК ЗАБОЛОТОВКА,</w:t>
      </w:r>
    </w:p>
    <w:p>
      <w:pPr>
        <w:pStyle w:val="2"/>
        <w:jc w:val="center"/>
      </w:pPr>
      <w:r>
        <w:rPr>
          <w:sz w:val="20"/>
        </w:rPr>
        <w:t xml:space="preserve">ПОСЕЛОК БОЛЬШИЕ БАЗЫ), КАРАЯШНИКОВСКОГО СЕЛЬСКОГО ПОСЕЛЕНИЯ</w:t>
      </w:r>
    </w:p>
    <w:p>
      <w:pPr>
        <w:pStyle w:val="2"/>
        <w:jc w:val="center"/>
      </w:pPr>
      <w:r>
        <w:rPr>
          <w:sz w:val="20"/>
        </w:rPr>
        <w:t xml:space="preserve">(СЛОБОДА КАРАЯШНИК, СЛОБОДА ЮРАСОВКА), МАРЬЕВСКОГО СЕЛЬСКОГО</w:t>
      </w:r>
    </w:p>
    <w:p>
      <w:pPr>
        <w:pStyle w:val="2"/>
        <w:jc w:val="center"/>
      </w:pPr>
      <w:r>
        <w:rPr>
          <w:sz w:val="20"/>
        </w:rPr>
        <w:t xml:space="preserve">ПОСЕЛЕНИЯ (СЛОБОДА МАРЬЕВКА), НОВОХАРЬКОВСКОГО СЕЛЬСКОГО</w:t>
      </w:r>
    </w:p>
    <w:p>
      <w:pPr>
        <w:pStyle w:val="2"/>
        <w:jc w:val="center"/>
      </w:pPr>
      <w:r>
        <w:rPr>
          <w:sz w:val="20"/>
        </w:rPr>
        <w:t xml:space="preserve">ПОСЕЛЕНИЯ (СЛОБОДА НОВОХАРЬКОВКА), СТЕПНЯНСКОГО СЕЛЬСКОГО</w:t>
      </w:r>
    </w:p>
    <w:p>
      <w:pPr>
        <w:pStyle w:val="2"/>
        <w:jc w:val="center"/>
      </w:pPr>
      <w:r>
        <w:rPr>
          <w:sz w:val="20"/>
        </w:rPr>
        <w:t xml:space="preserve">ПОСЕЛЕНИЯ (СЕЛО КОСТОВО), ШАПОШНИКОВСКОГО СЕЛЬСКОГО</w:t>
      </w:r>
    </w:p>
    <w:p>
      <w:pPr>
        <w:pStyle w:val="2"/>
        <w:jc w:val="center"/>
      </w:pPr>
      <w:r>
        <w:rPr>
          <w:sz w:val="20"/>
        </w:rPr>
        <w:t xml:space="preserve">ПОСЕЛЕНИЯ (СЛОБОДА ШАПОШНИКОВА) ОЛЬХОВАТСКОГО МУНИЦИПАЛЬНОГО</w:t>
      </w:r>
    </w:p>
    <w:p>
      <w:pPr>
        <w:pStyle w:val="2"/>
        <w:jc w:val="center"/>
      </w:pPr>
      <w:r>
        <w:rPr>
          <w:sz w:val="20"/>
        </w:rPr>
        <w:t xml:space="preserve">РАЙОНА ВОРОНЕЖСКОЙ ОБЛАСТИ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098"/>
        <w:gridCol w:w="1814"/>
        <w:gridCol w:w="1304"/>
        <w:gridCol w:w="964"/>
        <w:gridCol w:w="850"/>
        <w:gridCol w:w="850"/>
        <w:gridCol w:w="850"/>
        <w:gridCol w:w="851"/>
        <w:gridCol w:w="1247"/>
      </w:tblGrid>
      <w:tr>
        <w:tc>
          <w:tcPr>
            <w:tcW w:w="567" w:type="dxa"/>
            <w:vAlign w:val="center"/>
            <w:vMerge w:val="restart"/>
          </w:tcPr>
          <w:p>
            <w:pPr>
              <w:pStyle w:val="0"/>
              <w:jc w:val="center"/>
            </w:pPr>
            <w:r>
              <w:rPr>
                <w:sz w:val="20"/>
              </w:rPr>
              <w:t xml:space="preserve">N п/п</w:t>
            </w:r>
          </w:p>
        </w:tc>
        <w:tc>
          <w:tcPr>
            <w:tcW w:w="2098" w:type="dxa"/>
            <w:vAlign w:val="center"/>
            <w:vMerge w:val="restart"/>
          </w:tcPr>
          <w:p>
            <w:pPr>
              <w:pStyle w:val="0"/>
              <w:jc w:val="center"/>
            </w:pPr>
            <w:r>
              <w:rPr>
                <w:sz w:val="20"/>
              </w:rPr>
              <w:t xml:space="preserve">Наименование регулируемой организации</w:t>
            </w:r>
          </w:p>
        </w:tc>
        <w:tc>
          <w:tcPr>
            <w:tcW w:w="1814" w:type="dxa"/>
            <w:vAlign w:val="center"/>
            <w:vMerge w:val="restart"/>
          </w:tcPr>
          <w:p>
            <w:pPr>
              <w:pStyle w:val="0"/>
              <w:jc w:val="center"/>
            </w:pPr>
            <w:r>
              <w:rPr>
                <w:sz w:val="20"/>
              </w:rPr>
              <w:t xml:space="preserve">Вид тарифа</w:t>
            </w:r>
          </w:p>
        </w:tc>
        <w:tc>
          <w:tcPr>
            <w:tcW w:w="1304" w:type="dxa"/>
            <w:vAlign w:val="center"/>
            <w:vMerge w:val="restart"/>
          </w:tcPr>
          <w:p>
            <w:pPr>
              <w:pStyle w:val="0"/>
              <w:jc w:val="center"/>
            </w:pPr>
            <w:r>
              <w:rPr>
                <w:sz w:val="20"/>
              </w:rPr>
              <w:t xml:space="preserve">Год</w:t>
            </w:r>
          </w:p>
        </w:tc>
        <w:tc>
          <w:tcPr>
            <w:tcW w:w="964" w:type="dxa"/>
            <w:vAlign w:val="center"/>
            <w:vMerge w:val="restart"/>
          </w:tcPr>
          <w:p>
            <w:pPr>
              <w:pStyle w:val="0"/>
              <w:jc w:val="center"/>
            </w:pPr>
            <w:r>
              <w:rPr>
                <w:sz w:val="20"/>
              </w:rPr>
              <w:t xml:space="preserve">Вода</w:t>
            </w:r>
          </w:p>
        </w:tc>
        <w:tc>
          <w:tcPr>
            <w:gridSpan w:val="4"/>
            <w:tcW w:w="3401" w:type="dxa"/>
            <w:vAlign w:val="center"/>
          </w:tcPr>
          <w:p>
            <w:pPr>
              <w:pStyle w:val="0"/>
              <w:jc w:val="center"/>
            </w:pPr>
            <w:r>
              <w:rPr>
                <w:sz w:val="20"/>
              </w:rPr>
              <w:t xml:space="preserve">Отборный пар давлением</w:t>
            </w:r>
          </w:p>
        </w:tc>
        <w:tc>
          <w:tcPr>
            <w:tcW w:w="1247" w:type="dxa"/>
            <w:vAlign w:val="center"/>
            <w:vMerge w:val="restart"/>
          </w:tcPr>
          <w:p>
            <w:pPr>
              <w:pStyle w:val="0"/>
              <w:jc w:val="center"/>
            </w:pPr>
            <w:r>
              <w:rPr>
                <w:sz w:val="20"/>
              </w:rPr>
              <w:t xml:space="preserve">Острый и редуцированный пар</w:t>
            </w:r>
          </w:p>
        </w:tc>
      </w:tr>
      <w:tr>
        <w:tc>
          <w:tcPr>
            <w:vMerge w:val="continue"/>
          </w:tcPr>
          <w:p/>
        </w:tc>
        <w:tc>
          <w:tcPr>
            <w:vMerge w:val="continue"/>
          </w:tcPr>
          <w:p/>
        </w:tc>
        <w:tc>
          <w:tcPr>
            <w:vMerge w:val="continue"/>
          </w:tcPr>
          <w:p/>
        </w:tc>
        <w:tc>
          <w:tcPr>
            <w:vMerge w:val="continue"/>
          </w:tcPr>
          <w:p/>
        </w:tc>
        <w:tc>
          <w:tcPr>
            <w:vMerge w:val="continue"/>
          </w:tcPr>
          <w:p/>
        </w:tc>
        <w:tc>
          <w:tcPr>
            <w:tcW w:w="850" w:type="dxa"/>
            <w:vAlign w:val="center"/>
          </w:tcPr>
          <w:p>
            <w:pPr>
              <w:pStyle w:val="0"/>
              <w:jc w:val="center"/>
            </w:pPr>
            <w:r>
              <w:rPr>
                <w:sz w:val="20"/>
              </w:rPr>
              <w:t xml:space="preserve">от 1,2 до 2,5 кг/см</w:t>
            </w:r>
            <w:r>
              <w:rPr>
                <w:sz w:val="20"/>
                <w:vertAlign w:val="superscript"/>
              </w:rPr>
              <w:t xml:space="preserve">2</w:t>
            </w:r>
          </w:p>
        </w:tc>
        <w:tc>
          <w:tcPr>
            <w:tcW w:w="850" w:type="dxa"/>
            <w:vAlign w:val="center"/>
          </w:tcPr>
          <w:p>
            <w:pPr>
              <w:pStyle w:val="0"/>
              <w:jc w:val="center"/>
            </w:pPr>
            <w:r>
              <w:rPr>
                <w:sz w:val="20"/>
              </w:rPr>
              <w:t xml:space="preserve">от 2,5 до 7,0 кг/см</w:t>
            </w:r>
            <w:r>
              <w:rPr>
                <w:sz w:val="20"/>
                <w:vertAlign w:val="superscript"/>
              </w:rPr>
              <w:t xml:space="preserve">2</w:t>
            </w:r>
          </w:p>
        </w:tc>
        <w:tc>
          <w:tcPr>
            <w:tcW w:w="850" w:type="dxa"/>
            <w:vAlign w:val="center"/>
          </w:tcPr>
          <w:p>
            <w:pPr>
              <w:pStyle w:val="0"/>
              <w:jc w:val="center"/>
            </w:pPr>
            <w:r>
              <w:rPr>
                <w:sz w:val="20"/>
              </w:rPr>
              <w:t xml:space="preserve">от 7,0 до 13,0 кг/см</w:t>
            </w:r>
            <w:r>
              <w:rPr>
                <w:sz w:val="20"/>
                <w:vertAlign w:val="superscript"/>
              </w:rPr>
              <w:t xml:space="preserve">2</w:t>
            </w:r>
          </w:p>
        </w:tc>
        <w:tc>
          <w:tcPr>
            <w:tcW w:w="851" w:type="dxa"/>
            <w:vAlign w:val="center"/>
          </w:tcPr>
          <w:p>
            <w:pPr>
              <w:pStyle w:val="0"/>
              <w:jc w:val="center"/>
            </w:pPr>
            <w:r>
              <w:rPr>
                <w:sz w:val="20"/>
              </w:rPr>
              <w:t xml:space="preserve">свыше 13,0 кг/см</w:t>
            </w:r>
            <w:r>
              <w:rPr>
                <w:sz w:val="20"/>
                <w:vertAlign w:val="superscript"/>
              </w:rPr>
              <w:t xml:space="preserve">2</w:t>
            </w:r>
          </w:p>
        </w:tc>
        <w:tc>
          <w:tcPr>
            <w:vMerge w:val="continue"/>
          </w:tcPr>
          <w:p/>
        </w:tc>
      </w:tr>
      <w:tr>
        <w:tc>
          <w:tcPr>
            <w:tcW w:w="567" w:type="dxa"/>
            <w:vAlign w:val="center"/>
            <w:vMerge w:val="restart"/>
          </w:tcPr>
          <w:p>
            <w:pPr>
              <w:pStyle w:val="0"/>
              <w:jc w:val="center"/>
            </w:pPr>
            <w:r>
              <w:rPr>
                <w:sz w:val="20"/>
              </w:rPr>
              <w:t xml:space="preserve">1.</w:t>
            </w:r>
          </w:p>
        </w:tc>
        <w:tc>
          <w:tcPr>
            <w:tcW w:w="2098" w:type="dxa"/>
            <w:vAlign w:val="center"/>
            <w:vMerge w:val="restart"/>
          </w:tcPr>
          <w:p>
            <w:pPr>
              <w:pStyle w:val="0"/>
              <w:jc w:val="center"/>
            </w:pPr>
            <w:r>
              <w:rPr>
                <w:sz w:val="20"/>
              </w:rPr>
              <w:t xml:space="preserve">Общество с ограниченной ответственностью "Твой Дом" &lt;**&gt;</w:t>
            </w:r>
          </w:p>
        </w:tc>
        <w:tc>
          <w:tcPr>
            <w:gridSpan w:val="8"/>
            <w:tcW w:w="8730" w:type="dxa"/>
            <w:vAlign w:val="center"/>
          </w:tcPr>
          <w:p>
            <w:pPr>
              <w:pStyle w:val="0"/>
              <w:jc w:val="center"/>
            </w:pPr>
            <w:r>
              <w:rPr>
                <w:sz w:val="20"/>
              </w:rPr>
              <w:t xml:space="preserve">Для потребителей в случае отсутствия дифференциации тарифов по схеме подключения</w:t>
            </w:r>
          </w:p>
        </w:tc>
      </w:tr>
      <w:tr>
        <w:tc>
          <w:tcPr>
            <w:vMerge w:val="continue"/>
          </w:tcPr>
          <w:p/>
        </w:tc>
        <w:tc>
          <w:tcPr>
            <w:vMerge w:val="continue"/>
          </w:tcPr>
          <w:p/>
        </w:tc>
        <w:tc>
          <w:tcPr>
            <w:tcW w:w="1814" w:type="dxa"/>
            <w:vAlign w:val="center"/>
            <w:vMerge w:val="restart"/>
          </w:tcPr>
          <w:p>
            <w:pPr>
              <w:pStyle w:val="0"/>
              <w:jc w:val="center"/>
            </w:pPr>
            <w:r>
              <w:rPr>
                <w:sz w:val="20"/>
              </w:rPr>
              <w:t xml:space="preserve">одноставочный, рублей/Гкал</w:t>
            </w:r>
          </w:p>
        </w:tc>
        <w:tc>
          <w:tcPr>
            <w:tcW w:w="1304" w:type="dxa"/>
            <w:vAlign w:val="center"/>
          </w:tcPr>
          <w:p>
            <w:pPr>
              <w:pStyle w:val="0"/>
              <w:jc w:val="center"/>
            </w:pPr>
            <w:r>
              <w:rPr>
                <w:sz w:val="20"/>
              </w:rPr>
              <w:t xml:space="preserve">01.01.2019 - 30.06.2019</w:t>
            </w:r>
          </w:p>
        </w:tc>
        <w:tc>
          <w:tcPr>
            <w:tcW w:w="964" w:type="dxa"/>
            <w:vAlign w:val="center"/>
          </w:tcPr>
          <w:p>
            <w:pPr>
              <w:pStyle w:val="0"/>
              <w:jc w:val="center"/>
            </w:pPr>
            <w:r>
              <w:rPr>
                <w:sz w:val="20"/>
              </w:rPr>
              <w:t xml:space="preserve">2325,38</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01.07.2019 - 31.12.2019</w:t>
            </w:r>
          </w:p>
        </w:tc>
        <w:tc>
          <w:tcPr>
            <w:tcW w:w="964" w:type="dxa"/>
            <w:vAlign w:val="center"/>
          </w:tcPr>
          <w:p>
            <w:pPr>
              <w:pStyle w:val="0"/>
              <w:jc w:val="center"/>
            </w:pPr>
            <w:r>
              <w:rPr>
                <w:sz w:val="20"/>
              </w:rPr>
              <w:t xml:space="preserve">2371,86</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01.01.2020 - 30.06.2020</w:t>
            </w:r>
          </w:p>
        </w:tc>
        <w:tc>
          <w:tcPr>
            <w:tcW w:w="964" w:type="dxa"/>
            <w:vAlign w:val="center"/>
          </w:tcPr>
          <w:p>
            <w:pPr>
              <w:pStyle w:val="0"/>
              <w:jc w:val="center"/>
            </w:pPr>
            <w:r>
              <w:rPr>
                <w:sz w:val="20"/>
              </w:rPr>
              <w:t xml:space="preserve">2371,86</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01.07.2020 - 31.12.2020</w:t>
            </w:r>
          </w:p>
        </w:tc>
        <w:tc>
          <w:tcPr>
            <w:tcW w:w="964" w:type="dxa"/>
            <w:vAlign w:val="center"/>
          </w:tcPr>
          <w:p>
            <w:pPr>
              <w:pStyle w:val="0"/>
              <w:jc w:val="center"/>
            </w:pPr>
            <w:r>
              <w:rPr>
                <w:sz w:val="20"/>
              </w:rPr>
              <w:t xml:space="preserve">2419,22</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01.01.2021 - 30.06.2021</w:t>
            </w:r>
          </w:p>
        </w:tc>
        <w:tc>
          <w:tcPr>
            <w:tcW w:w="964" w:type="dxa"/>
            <w:vAlign w:val="center"/>
          </w:tcPr>
          <w:p>
            <w:pPr>
              <w:pStyle w:val="0"/>
              <w:jc w:val="center"/>
            </w:pPr>
            <w:r>
              <w:rPr>
                <w:sz w:val="20"/>
              </w:rPr>
              <w:t xml:space="preserve">2419,22</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01.07.2021 - 31.12.2021</w:t>
            </w:r>
          </w:p>
        </w:tc>
        <w:tc>
          <w:tcPr>
            <w:tcW w:w="964" w:type="dxa"/>
            <w:vAlign w:val="center"/>
          </w:tcPr>
          <w:p>
            <w:pPr>
              <w:pStyle w:val="0"/>
              <w:jc w:val="center"/>
            </w:pPr>
            <w:r>
              <w:rPr>
                <w:sz w:val="20"/>
              </w:rPr>
              <w:t xml:space="preserve">2463,14</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01.01.2022 - 30.06.2022</w:t>
            </w:r>
          </w:p>
        </w:tc>
        <w:tc>
          <w:tcPr>
            <w:tcW w:w="964" w:type="dxa"/>
            <w:vAlign w:val="center"/>
          </w:tcPr>
          <w:p>
            <w:pPr>
              <w:pStyle w:val="0"/>
              <w:jc w:val="center"/>
            </w:pPr>
            <w:r>
              <w:rPr>
                <w:sz w:val="20"/>
              </w:rPr>
              <w:t xml:space="preserve">2463,14</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01.07.2022 - 30.11.2022</w:t>
            </w:r>
          </w:p>
        </w:tc>
        <w:tc>
          <w:tcPr>
            <w:tcW w:w="964" w:type="dxa"/>
            <w:vAlign w:val="center"/>
          </w:tcPr>
          <w:p>
            <w:pPr>
              <w:pStyle w:val="0"/>
              <w:jc w:val="center"/>
            </w:pPr>
            <w:r>
              <w:rPr>
                <w:sz w:val="20"/>
              </w:rPr>
              <w:t xml:space="preserve">2492,60</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01.12.2022 - 31.12.2023</w:t>
            </w:r>
          </w:p>
        </w:tc>
        <w:tc>
          <w:tcPr>
            <w:tcW w:w="964" w:type="dxa"/>
            <w:vAlign w:val="center"/>
          </w:tcPr>
          <w:p>
            <w:pPr>
              <w:pStyle w:val="0"/>
              <w:jc w:val="center"/>
            </w:pPr>
            <w:r>
              <w:rPr>
                <w:sz w:val="20"/>
              </w:rPr>
              <w:t xml:space="preserve">2632,05</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gridSpan w:val="8"/>
            <w:tcW w:w="8730" w:type="dxa"/>
            <w:vAlign w:val="center"/>
          </w:tcPr>
          <w:p>
            <w:pPr>
              <w:pStyle w:val="0"/>
              <w:jc w:val="center"/>
            </w:pPr>
            <w:r>
              <w:rPr>
                <w:sz w:val="20"/>
              </w:rPr>
              <w:t xml:space="preserve">Население (тарифы указываются с учетом НДС) &lt;*&gt;</w:t>
            </w:r>
          </w:p>
        </w:tc>
      </w:tr>
      <w:tr>
        <w:tc>
          <w:tcPr>
            <w:vMerge w:val="continue"/>
          </w:tcPr>
          <w:p/>
        </w:tc>
        <w:tc>
          <w:tcPr>
            <w:vMerge w:val="continue"/>
          </w:tcPr>
          <w:p/>
        </w:tc>
        <w:tc>
          <w:tcPr>
            <w:tcW w:w="1814" w:type="dxa"/>
            <w:vAlign w:val="center"/>
            <w:vMerge w:val="restart"/>
          </w:tcPr>
          <w:p>
            <w:pPr>
              <w:pStyle w:val="0"/>
              <w:jc w:val="center"/>
            </w:pPr>
            <w:r>
              <w:rPr>
                <w:sz w:val="20"/>
              </w:rPr>
              <w:t xml:space="preserve">одноставочный, рублей/Гкал</w:t>
            </w:r>
          </w:p>
        </w:tc>
        <w:tc>
          <w:tcPr>
            <w:tcW w:w="1304" w:type="dxa"/>
            <w:vAlign w:val="center"/>
          </w:tcPr>
          <w:p>
            <w:pPr>
              <w:pStyle w:val="0"/>
              <w:jc w:val="center"/>
            </w:pPr>
            <w:r>
              <w:rPr>
                <w:sz w:val="20"/>
              </w:rPr>
              <w:t xml:space="preserve">01.01.2019 - 30.06.2019</w:t>
            </w:r>
          </w:p>
        </w:tc>
        <w:tc>
          <w:tcPr>
            <w:tcW w:w="964" w:type="dxa"/>
            <w:vAlign w:val="center"/>
          </w:tcPr>
          <w:p>
            <w:pPr>
              <w:pStyle w:val="0"/>
              <w:jc w:val="center"/>
            </w:pPr>
            <w:r>
              <w:rPr>
                <w:sz w:val="20"/>
              </w:rPr>
              <w:t xml:space="preserve">2325,38</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01.07.2019 - 31.12.2019</w:t>
            </w:r>
          </w:p>
        </w:tc>
        <w:tc>
          <w:tcPr>
            <w:tcW w:w="964" w:type="dxa"/>
            <w:vAlign w:val="center"/>
          </w:tcPr>
          <w:p>
            <w:pPr>
              <w:pStyle w:val="0"/>
              <w:jc w:val="center"/>
            </w:pPr>
            <w:r>
              <w:rPr>
                <w:sz w:val="20"/>
              </w:rPr>
              <w:t xml:space="preserve">2371,86</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01.01.2020 - 30.06.2020</w:t>
            </w:r>
          </w:p>
        </w:tc>
        <w:tc>
          <w:tcPr>
            <w:tcW w:w="964" w:type="dxa"/>
            <w:vAlign w:val="center"/>
          </w:tcPr>
          <w:p>
            <w:pPr>
              <w:pStyle w:val="0"/>
              <w:jc w:val="center"/>
            </w:pPr>
            <w:r>
              <w:rPr>
                <w:sz w:val="20"/>
              </w:rPr>
              <w:t xml:space="preserve">2371,86</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01.07.2020 - 31.12.2020</w:t>
            </w:r>
          </w:p>
        </w:tc>
        <w:tc>
          <w:tcPr>
            <w:tcW w:w="964" w:type="dxa"/>
            <w:vAlign w:val="center"/>
          </w:tcPr>
          <w:p>
            <w:pPr>
              <w:pStyle w:val="0"/>
              <w:jc w:val="center"/>
            </w:pPr>
            <w:r>
              <w:rPr>
                <w:sz w:val="20"/>
              </w:rPr>
              <w:t xml:space="preserve">2419,22</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01.01.2021 - 30.06.2021</w:t>
            </w:r>
          </w:p>
        </w:tc>
        <w:tc>
          <w:tcPr>
            <w:tcW w:w="964" w:type="dxa"/>
            <w:vAlign w:val="center"/>
          </w:tcPr>
          <w:p>
            <w:pPr>
              <w:pStyle w:val="0"/>
              <w:jc w:val="center"/>
            </w:pPr>
            <w:r>
              <w:rPr>
                <w:sz w:val="20"/>
              </w:rPr>
              <w:t xml:space="preserve">2419,22</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01.07.2021 - 31.12.2021</w:t>
            </w:r>
          </w:p>
        </w:tc>
        <w:tc>
          <w:tcPr>
            <w:tcW w:w="964" w:type="dxa"/>
            <w:vAlign w:val="center"/>
          </w:tcPr>
          <w:p>
            <w:pPr>
              <w:pStyle w:val="0"/>
              <w:jc w:val="center"/>
            </w:pPr>
            <w:r>
              <w:rPr>
                <w:sz w:val="20"/>
              </w:rPr>
              <w:t xml:space="preserve">2463,14</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01.01.2022 - 30.06.2022</w:t>
            </w:r>
          </w:p>
        </w:tc>
        <w:tc>
          <w:tcPr>
            <w:tcW w:w="964" w:type="dxa"/>
            <w:vAlign w:val="center"/>
          </w:tcPr>
          <w:p>
            <w:pPr>
              <w:pStyle w:val="0"/>
              <w:jc w:val="center"/>
            </w:pPr>
            <w:r>
              <w:rPr>
                <w:sz w:val="20"/>
              </w:rPr>
              <w:t xml:space="preserve">2463,14</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01.07.2022 - 30.11.2022</w:t>
            </w:r>
          </w:p>
        </w:tc>
        <w:tc>
          <w:tcPr>
            <w:tcW w:w="964" w:type="dxa"/>
            <w:vAlign w:val="center"/>
          </w:tcPr>
          <w:p>
            <w:pPr>
              <w:pStyle w:val="0"/>
              <w:jc w:val="center"/>
            </w:pPr>
            <w:r>
              <w:rPr>
                <w:sz w:val="20"/>
              </w:rPr>
              <w:t xml:space="preserve">2492,60</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r>
        <w:tc>
          <w:tcPr>
            <w:vMerge w:val="continue"/>
          </w:tcPr>
          <w:p/>
        </w:tc>
        <w:tc>
          <w:tcPr>
            <w:vMerge w:val="continue"/>
          </w:tcPr>
          <w:p/>
        </w:tc>
        <w:tc>
          <w:tcPr>
            <w:vMerge w:val="continue"/>
          </w:tcPr>
          <w:p/>
        </w:tc>
        <w:tc>
          <w:tcPr>
            <w:tcW w:w="1304" w:type="dxa"/>
            <w:vAlign w:val="center"/>
          </w:tcPr>
          <w:p>
            <w:pPr>
              <w:pStyle w:val="0"/>
              <w:jc w:val="center"/>
            </w:pPr>
            <w:r>
              <w:rPr>
                <w:sz w:val="20"/>
              </w:rPr>
              <w:t xml:space="preserve">01.12.2022 - 31.12.2023</w:t>
            </w:r>
          </w:p>
        </w:tc>
        <w:tc>
          <w:tcPr>
            <w:tcW w:w="964" w:type="dxa"/>
            <w:vAlign w:val="center"/>
          </w:tcPr>
          <w:p>
            <w:pPr>
              <w:pStyle w:val="0"/>
              <w:jc w:val="center"/>
            </w:pPr>
            <w:r>
              <w:rPr>
                <w:sz w:val="20"/>
              </w:rPr>
              <w:t xml:space="preserve">2632,05</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0" w:type="dxa"/>
            <w:vAlign w:val="center"/>
          </w:tcPr>
          <w:p>
            <w:pPr>
              <w:pStyle w:val="0"/>
              <w:jc w:val="center"/>
            </w:pPr>
            <w:r>
              <w:rPr>
                <w:sz w:val="20"/>
              </w:rPr>
              <w:t xml:space="preserve">X</w:t>
            </w:r>
          </w:p>
        </w:tc>
        <w:tc>
          <w:tcPr>
            <w:tcW w:w="851" w:type="dxa"/>
            <w:vAlign w:val="center"/>
          </w:tcPr>
          <w:p>
            <w:pPr>
              <w:pStyle w:val="0"/>
              <w:jc w:val="center"/>
            </w:pPr>
            <w:r>
              <w:rPr>
                <w:sz w:val="20"/>
              </w:rPr>
              <w:t xml:space="preserve">X</w:t>
            </w:r>
          </w:p>
        </w:tc>
        <w:tc>
          <w:tcPr>
            <w:tcW w:w="1247" w:type="dxa"/>
            <w:vAlign w:val="center"/>
          </w:tcPr>
          <w:p>
            <w:pPr>
              <w:pStyle w:val="0"/>
              <w:jc w:val="center"/>
            </w:pPr>
            <w:r>
              <w:rPr>
                <w:sz w:val="20"/>
              </w:rPr>
              <w:t xml:space="preserve">X</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Выделяется в целях реализации </w:t>
      </w:r>
      <w:hyperlink w:history="0" r:id="rId15" w:tooltip="&quot;Налоговый кодекс Российской Федерации (часть вторая)&quot; от 05.08.2000 N 117-ФЗ (ред. от 19.12.2022) (с изм. и доп., вступ. в силу с 21.12.2022) ------------ Недействующая редакция {КонсультантПлюс}">
        <w:r>
          <w:rPr>
            <w:sz w:val="20"/>
            <w:color w:val="0000ff"/>
          </w:rPr>
          <w:t xml:space="preserve">пункта 6 статьи 168</w:t>
        </w:r>
      </w:hyperlink>
      <w:r>
        <w:rPr>
          <w:sz w:val="20"/>
        </w:rPr>
        <w:t xml:space="preserve"> Налогового кодекса Российской Федерации (часть вторая).</w:t>
      </w:r>
    </w:p>
    <w:p>
      <w:pPr>
        <w:pStyle w:val="0"/>
        <w:spacing w:before="200" w:line-rule="auto"/>
        <w:ind w:firstLine="540"/>
        <w:jc w:val="both"/>
      </w:pPr>
      <w:r>
        <w:rPr>
          <w:sz w:val="20"/>
        </w:rPr>
        <w:t xml:space="preserve">&lt;**&gt; Налогом на добавленную стоимость (НДС) не облагается, общество применяет упрощенную систему налогообложения в соответствии со </w:t>
      </w:r>
      <w:hyperlink w:history="0" r:id="rId16" w:tooltip="&quot;Налоговый кодекс Российской Федерации (часть вторая)&quot; от 05.08.2000 N 117-ФЗ (ред. от 19.12.2022) (с изм. и доп., вступ. в силу с 21.12.2022) ------------ Недействующая редакция {КонсультантПлюс}">
        <w:r>
          <w:rPr>
            <w:sz w:val="20"/>
            <w:color w:val="0000ff"/>
          </w:rPr>
          <w:t xml:space="preserve">статьями 346.11</w:t>
        </w:r>
      </w:hyperlink>
      <w:r>
        <w:rPr>
          <w:sz w:val="20"/>
        </w:rPr>
        <w:t xml:space="preserve">, </w:t>
      </w:r>
      <w:hyperlink w:history="0" r:id="rId17" w:tooltip="&quot;Налоговый кодекс Российской Федерации (часть вторая)&quot; от 05.08.2000 N 117-ФЗ (ред. от 19.12.2022) (с изм. и доп., вступ. в силу с 21.12.2022) ------------ Недействующая редакция {КонсультантПлюс}">
        <w:r>
          <w:rPr>
            <w:sz w:val="20"/>
            <w:color w:val="0000ff"/>
          </w:rPr>
          <w:t xml:space="preserve">346.12</w:t>
        </w:r>
      </w:hyperlink>
      <w:r>
        <w:rPr>
          <w:sz w:val="20"/>
        </w:rPr>
        <w:t xml:space="preserve">, </w:t>
      </w:r>
      <w:hyperlink w:history="0" r:id="rId18" w:tooltip="&quot;Налоговый кодекс Российской Федерации (часть вторая)&quot; от 05.08.2000 N 117-ФЗ (ред. от 19.12.2022) (с изм. и доп., вступ. в силу с 21.12.2022) ------------ Недействующая редакция {КонсультантПлюс}">
        <w:r>
          <w:rPr>
            <w:sz w:val="20"/>
            <w:color w:val="0000ff"/>
          </w:rPr>
          <w:t xml:space="preserve">346.13</w:t>
        </w:r>
      </w:hyperlink>
      <w:r>
        <w:rPr>
          <w:sz w:val="20"/>
        </w:rPr>
        <w:t xml:space="preserve"> части II Налогового кодекса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3"/>
      <w:headerReference w:type="first" r:id="rId13"/>
      <w:footerReference w:type="default" r:id="rId14"/>
      <w:footerReference w:type="first" r:id="rId14"/>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ДГРТ Воронежской обл. от 18.11.2022 N 69/103</w:t>
            <w:br/>
            <w:t>"О внесении изменения в приказ УРТ от 07.12.2018 N 49/52 "Об установ...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ДГРТ Воронежской обл. от 18.11.2022 N 69/103</w:t>
            <w:br/>
            <w:t>"О внесении изменения в приказ УРТ от 07.12.2018 N 49/52 "Об установ...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5D9C141A690BD4D5901EB3F652C3B7A16897425553E0FCD497E67C44187A4557CBC7AD4516842F71BAD4B27C4pAnDI" TargetMode = "External"/>
	<Relationship Id="rId8" Type="http://schemas.openxmlformats.org/officeDocument/2006/relationships/hyperlink" Target="consultantplus://offline/ref=A5D9C141A690BD4D5901EB3F652C3B7A168A7A2F503D0FCD497E67C44187A4557CBC7AD4516842F71BAD4B27C4pAnDI" TargetMode = "External"/>
	<Relationship Id="rId9" Type="http://schemas.openxmlformats.org/officeDocument/2006/relationships/hyperlink" Target="consultantplus://offline/ref=A5D9C141A690BD4D5901EB3F652C3B7A168B7325563F0FCD497E67C44187A4557CBC7AD4516842F71BAD4B27C4pAnDI" TargetMode = "External"/>
	<Relationship Id="rId10" Type="http://schemas.openxmlformats.org/officeDocument/2006/relationships/hyperlink" Target="consultantplus://offline/ref=A5D9C141A690BD4D5901EB3F652C3B7A168A732557310FCD497E67C44187A4557CBC7AD4516842F71BAD4B27C4pAnDI" TargetMode = "External"/>
	<Relationship Id="rId11" Type="http://schemas.openxmlformats.org/officeDocument/2006/relationships/hyperlink" Target="consultantplus://offline/ref=A5D9C141A690BD4D5901EB296640647F13832C2A5339049C162861931ED7A2002EFC248D022B09FA18B45727C7B0C2FB07p9nAI" TargetMode = "External"/>
	<Relationship Id="rId12" Type="http://schemas.openxmlformats.org/officeDocument/2006/relationships/hyperlink" Target="consultantplus://offline/ref=A5D9C141A690BD4D5901EB296640647F13832C2A5338039F142E61931ED7A2002EFC248D102B51F61AB34B21CEA594AA41CC025A5EE686D72F134661p9nEI" TargetMode = "Externa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consultantplus://offline/ref=A5D9C141A690BD4D5901EB3F652C3B7A168B70275A3B0FCD497E67C44187A4556EBC22D857695CF211E7186393A3C2FC1B990E465BF884pDn5I" TargetMode = "External"/>
	<Relationship Id="rId16" Type="http://schemas.openxmlformats.org/officeDocument/2006/relationships/hyperlink" Target="consultantplus://offline/ref=A5D9C141A690BD4D5901EB3F652C3B7A168B70275A3B0FCD497E67C44187A4556EBC22D8536C59F01EB81D7682FBCDF902870F5947FA86D4p3n2I" TargetMode = "External"/>
	<Relationship Id="rId17" Type="http://schemas.openxmlformats.org/officeDocument/2006/relationships/hyperlink" Target="consultantplus://offline/ref=A5D9C141A690BD4D5901EB3F652C3B7A168B70275A3B0FCD497E67C44187A4556EBC22D8536C59FF1FB81D7682FBCDF902870F5947FA86D4p3n2I" TargetMode = "External"/>
	<Relationship Id="rId18" Type="http://schemas.openxmlformats.org/officeDocument/2006/relationships/hyperlink" Target="consultantplus://offline/ref=A5D9C141A690BD4D5901EB3F652C3B7A168B70275A3B0FCD497E67C44187A4556EBC22D8536C5AF71FB81D7682FBCDF902870F5947FA86D4p3n2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ДГРТ Воронежской обл. от 18.11.2022 N 69/103
"О внесении изменения в приказ УРТ от 07.12.2018 N 49/52 "Об установлении долгосрочных параметров регулирования деятельности и тарифов на тепловую энергию (мощность), поставляемую ООО "Твой Дом" потребителям, расположенным на территории Ольховатского городского поселения (рабочий поселок Ольховатка, поселок Заболотовка, поселок Большие Базы), Караяшниковского сельского поселения (слобода Караяшник, слобода Юрасовка), Шапошниковского сельского поселения (сл</dc:title>
  <dcterms:created xsi:type="dcterms:W3CDTF">2023-01-27T08:39:38Z</dcterms:created>
</cp:coreProperties>
</file>